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2A2D6B" w14:paraId="1D826D52" w14:textId="77777777" w:rsidTr="0030691F">
        <w:trPr>
          <w:trHeight w:val="1985"/>
        </w:trPr>
        <w:tc>
          <w:tcPr>
            <w:tcW w:w="4678" w:type="dxa"/>
          </w:tcPr>
          <w:p w14:paraId="2A6AE271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470D794E" wp14:editId="6AF36DB7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17DC511" w14:textId="77777777" w:rsidR="00570CAB" w:rsidRDefault="00570CAB" w:rsidP="00570C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30FE09F9" w14:textId="77777777" w:rsidR="00570CAB" w:rsidRDefault="00570CAB" w:rsidP="00570CAB">
            <w:pPr>
              <w:rPr>
                <w:b/>
                <w:lang w:val="uk-UA"/>
              </w:rPr>
            </w:pPr>
          </w:p>
          <w:p w14:paraId="2428A47C" w14:textId="77777777" w:rsidR="002A2D6B" w:rsidRPr="002A2D6B" w:rsidRDefault="002A2D6B" w:rsidP="002A2D6B">
            <w:pPr>
              <w:rPr>
                <w:lang w:val="uk-UA"/>
              </w:rPr>
            </w:pPr>
            <w:r w:rsidRPr="002A2D6B">
              <w:rPr>
                <w:lang w:val="uk-UA"/>
              </w:rPr>
              <w:t>рішенням сесії</w:t>
            </w:r>
          </w:p>
          <w:p w14:paraId="463AF21A" w14:textId="77777777" w:rsidR="002A2D6B" w:rsidRPr="002A2D6B" w:rsidRDefault="002A2D6B" w:rsidP="002A2D6B">
            <w:pPr>
              <w:rPr>
                <w:lang w:val="uk-UA"/>
              </w:rPr>
            </w:pPr>
            <w:r w:rsidRPr="002A2D6B">
              <w:rPr>
                <w:lang w:val="uk-UA"/>
              </w:rPr>
              <w:t>Обухівської селищної ради</w:t>
            </w:r>
          </w:p>
          <w:p w14:paraId="6C5FA0C5" w14:textId="1AAFA18E" w:rsidR="00F263CF" w:rsidRDefault="002A2D6B" w:rsidP="002A2D6B">
            <w:pPr>
              <w:rPr>
                <w:lang w:val="uk-UA"/>
              </w:rPr>
            </w:pPr>
            <w:r w:rsidRPr="002A2D6B">
              <w:rPr>
                <w:lang w:val="uk-UA"/>
              </w:rPr>
              <w:t xml:space="preserve">№ </w:t>
            </w:r>
            <w:r w:rsidR="00A97C38">
              <w:rPr>
                <w:lang w:val="uk-UA"/>
              </w:rPr>
              <w:t>1</w:t>
            </w:r>
            <w:r w:rsidR="003D11C7">
              <w:rPr>
                <w:lang w:val="uk-UA"/>
              </w:rPr>
              <w:t>624</w:t>
            </w:r>
            <w:r w:rsidRPr="002A2D6B">
              <w:rPr>
                <w:lang w:val="uk-UA"/>
              </w:rPr>
              <w:t>-63/VIII  від  19.06.2026 року</w:t>
            </w:r>
          </w:p>
          <w:p w14:paraId="579C76F9" w14:textId="77777777" w:rsidR="008722C5" w:rsidRPr="008722C5" w:rsidRDefault="008722C5" w:rsidP="008722C5">
            <w:pPr>
              <w:rPr>
                <w:lang w:val="uk-UA"/>
              </w:rPr>
            </w:pPr>
          </w:p>
          <w:p w14:paraId="49F66A11" w14:textId="77777777" w:rsidR="008722C5" w:rsidRDefault="008722C5" w:rsidP="008722C5">
            <w:pPr>
              <w:rPr>
                <w:lang w:val="uk-UA"/>
              </w:rPr>
            </w:pPr>
          </w:p>
          <w:p w14:paraId="3ED571FB" w14:textId="5E66AD1B" w:rsidR="008722C5" w:rsidRPr="008722C5" w:rsidRDefault="008722C5" w:rsidP="008722C5">
            <w:pPr>
              <w:rPr>
                <w:lang w:val="uk-UA"/>
              </w:rPr>
            </w:pPr>
          </w:p>
        </w:tc>
      </w:tr>
    </w:tbl>
    <w:p w14:paraId="127D9248" w14:textId="0D4FF940" w:rsidR="00F263CF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bookmarkEnd w:id="0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E16DF2">
        <w:rPr>
          <w:sz w:val="26"/>
          <w:szCs w:val="26"/>
          <w:lang w:val="uk-UA"/>
        </w:rPr>
        <w:t>78</w:t>
      </w:r>
    </w:p>
    <w:p w14:paraId="0A1BCEDF" w14:textId="77777777" w:rsidR="008722C5" w:rsidRPr="00F06624" w:rsidRDefault="008722C5" w:rsidP="00F263CF">
      <w:pPr>
        <w:jc w:val="center"/>
        <w:rPr>
          <w:b/>
          <w:sz w:val="26"/>
          <w:szCs w:val="26"/>
          <w:lang w:val="uk-UA"/>
        </w:rPr>
      </w:pPr>
    </w:p>
    <w:p w14:paraId="766198DD" w14:textId="77777777" w:rsidR="00E16DF2" w:rsidRPr="00E16DF2" w:rsidRDefault="00E16DF2" w:rsidP="00E16DF2">
      <w:pPr>
        <w:jc w:val="center"/>
        <w:rPr>
          <w:b/>
          <w:sz w:val="28"/>
          <w:szCs w:val="28"/>
        </w:rPr>
      </w:pPr>
      <w:proofErr w:type="spellStart"/>
      <w:r w:rsidRPr="00E16DF2">
        <w:rPr>
          <w:b/>
          <w:sz w:val="28"/>
          <w:szCs w:val="28"/>
        </w:rPr>
        <w:t>Довідка</w:t>
      </w:r>
      <w:proofErr w:type="spellEnd"/>
      <w:r w:rsidRPr="00E16DF2">
        <w:rPr>
          <w:b/>
          <w:sz w:val="28"/>
          <w:szCs w:val="28"/>
        </w:rPr>
        <w:t xml:space="preserve">, </w:t>
      </w:r>
      <w:proofErr w:type="spellStart"/>
      <w:r w:rsidRPr="00E16DF2">
        <w:rPr>
          <w:b/>
          <w:sz w:val="28"/>
          <w:szCs w:val="28"/>
        </w:rPr>
        <w:t>що</w:t>
      </w:r>
      <w:proofErr w:type="spellEnd"/>
      <w:r w:rsidRPr="00E16DF2">
        <w:rPr>
          <w:b/>
          <w:sz w:val="28"/>
          <w:szCs w:val="28"/>
        </w:rPr>
        <w:t xml:space="preserve"> </w:t>
      </w:r>
      <w:proofErr w:type="spellStart"/>
      <w:r w:rsidRPr="00E16DF2">
        <w:rPr>
          <w:b/>
          <w:sz w:val="28"/>
          <w:szCs w:val="28"/>
        </w:rPr>
        <w:t>земельна</w:t>
      </w:r>
      <w:proofErr w:type="spellEnd"/>
      <w:r w:rsidRPr="00E16DF2">
        <w:rPr>
          <w:b/>
          <w:sz w:val="28"/>
          <w:szCs w:val="28"/>
        </w:rPr>
        <w:t xml:space="preserve"> </w:t>
      </w:r>
      <w:proofErr w:type="spellStart"/>
      <w:r w:rsidRPr="00E16DF2">
        <w:rPr>
          <w:b/>
          <w:sz w:val="28"/>
          <w:szCs w:val="28"/>
        </w:rPr>
        <w:t>ділянка</w:t>
      </w:r>
      <w:proofErr w:type="spellEnd"/>
      <w:r w:rsidRPr="00E16DF2">
        <w:rPr>
          <w:b/>
          <w:sz w:val="28"/>
          <w:szCs w:val="28"/>
        </w:rPr>
        <w:t xml:space="preserve"> у </w:t>
      </w:r>
      <w:proofErr w:type="spellStart"/>
      <w:r w:rsidRPr="00E16DF2">
        <w:rPr>
          <w:b/>
          <w:sz w:val="28"/>
          <w:szCs w:val="28"/>
        </w:rPr>
        <w:t>приватну</w:t>
      </w:r>
      <w:proofErr w:type="spellEnd"/>
      <w:r w:rsidRPr="00E16DF2">
        <w:rPr>
          <w:b/>
          <w:sz w:val="28"/>
          <w:szCs w:val="28"/>
        </w:rPr>
        <w:t xml:space="preserve"> </w:t>
      </w:r>
      <w:proofErr w:type="spellStart"/>
      <w:r w:rsidRPr="00E16DF2">
        <w:rPr>
          <w:b/>
          <w:sz w:val="28"/>
          <w:szCs w:val="28"/>
        </w:rPr>
        <w:t>власність</w:t>
      </w:r>
      <w:proofErr w:type="spellEnd"/>
      <w:r w:rsidRPr="00E16DF2">
        <w:rPr>
          <w:b/>
          <w:sz w:val="28"/>
          <w:szCs w:val="28"/>
        </w:rPr>
        <w:t xml:space="preserve"> до 2002 року не передавалась</w:t>
      </w:r>
    </w:p>
    <w:p w14:paraId="193245C8" w14:textId="77777777" w:rsidR="003A0DD3" w:rsidRPr="003A0DD3" w:rsidRDefault="003A0DD3" w:rsidP="00F06624">
      <w:pPr>
        <w:jc w:val="center"/>
        <w:rPr>
          <w:b/>
          <w:sz w:val="26"/>
          <w:szCs w:val="26"/>
        </w:rPr>
      </w:pPr>
    </w:p>
    <w:p w14:paraId="101E9A6E" w14:textId="77777777" w:rsidR="002A2D6B" w:rsidRPr="002A2D6B" w:rsidRDefault="002A2D6B" w:rsidP="002A2D6B">
      <w:pPr>
        <w:jc w:val="center"/>
        <w:rPr>
          <w:sz w:val="26"/>
          <w:szCs w:val="26"/>
          <w:lang w:val="uk-UA"/>
        </w:rPr>
      </w:pPr>
      <w:r w:rsidRPr="002A2D6B">
        <w:rPr>
          <w:sz w:val="26"/>
          <w:szCs w:val="26"/>
          <w:lang w:val="uk-UA"/>
        </w:rPr>
        <w:t>Суб’єкт надання адміністративної послуги –</w:t>
      </w:r>
    </w:p>
    <w:p w14:paraId="01171753" w14:textId="77777777" w:rsidR="002A2D6B" w:rsidRPr="002A2D6B" w:rsidRDefault="002A2D6B" w:rsidP="002A2D6B">
      <w:pPr>
        <w:jc w:val="center"/>
        <w:rPr>
          <w:sz w:val="26"/>
          <w:szCs w:val="26"/>
          <w:lang w:val="uk-UA"/>
        </w:rPr>
      </w:pPr>
      <w:r w:rsidRPr="002A2D6B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31218067" w14:textId="6DE688D1" w:rsidR="00F06624" w:rsidRPr="00F06624" w:rsidRDefault="002A2D6B" w:rsidP="002A2D6B">
      <w:pPr>
        <w:jc w:val="center"/>
        <w:rPr>
          <w:bCs/>
          <w:i/>
          <w:iCs/>
          <w:sz w:val="26"/>
          <w:szCs w:val="26"/>
          <w:lang w:val="uk-UA"/>
        </w:rPr>
      </w:pPr>
      <w:r w:rsidRPr="002A2D6B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"/>
        <w:gridCol w:w="2056"/>
        <w:gridCol w:w="992"/>
        <w:gridCol w:w="1276"/>
        <w:gridCol w:w="2268"/>
        <w:gridCol w:w="1913"/>
        <w:gridCol w:w="11"/>
      </w:tblGrid>
      <w:tr w:rsidR="00F263CF" w:rsidRPr="0003089E" w14:paraId="1D5B8A98" w14:textId="77777777" w:rsidTr="008722C5">
        <w:trPr>
          <w:trHeight w:val="413"/>
        </w:trPr>
        <w:tc>
          <w:tcPr>
            <w:tcW w:w="9120" w:type="dxa"/>
            <w:gridSpan w:val="8"/>
          </w:tcPr>
          <w:bookmarkEnd w:id="1"/>
          <w:p w14:paraId="6D47B6D2" w14:textId="37A35E59" w:rsidR="00F263CF" w:rsidRPr="0003089E" w:rsidRDefault="002A2D6B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rStyle w:val="22"/>
                <w:rFonts w:eastAsiaTheme="majorEastAsia"/>
              </w:rPr>
              <w:t xml:space="preserve"> </w:t>
            </w:r>
            <w:r w:rsidR="00F263CF"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733D9A76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B5771D" w:rsidRPr="0003089E" w14:paraId="1000F9E7" w14:textId="77777777" w:rsidTr="008722C5">
        <w:trPr>
          <w:trHeight w:val="1002"/>
        </w:trPr>
        <w:tc>
          <w:tcPr>
            <w:tcW w:w="534" w:type="dxa"/>
          </w:tcPr>
          <w:p w14:paraId="5CCCFF96" w14:textId="40E4778D" w:rsidR="00B5771D" w:rsidRPr="00281F1C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126" w:type="dxa"/>
            <w:gridSpan w:val="2"/>
          </w:tcPr>
          <w:p w14:paraId="1E2887A5" w14:textId="2CE95D55" w:rsidR="00B5771D" w:rsidRPr="00281F1C" w:rsidRDefault="00B5771D" w:rsidP="00B5771D">
            <w:pPr>
              <w:spacing w:line="300" w:lineRule="exact"/>
              <w:jc w:val="center"/>
              <w:rPr>
                <w:lang w:val="uk-UA"/>
              </w:rPr>
            </w:pPr>
            <w:proofErr w:type="spellStart"/>
            <w:r w:rsidRPr="00BC7FC7">
              <w:t>Найменування</w:t>
            </w:r>
            <w:proofErr w:type="spellEnd"/>
          </w:p>
        </w:tc>
        <w:tc>
          <w:tcPr>
            <w:tcW w:w="2268" w:type="dxa"/>
            <w:gridSpan w:val="2"/>
          </w:tcPr>
          <w:p w14:paraId="3C449534" w14:textId="59FAE8A6" w:rsidR="00B5771D" w:rsidRPr="00281F1C" w:rsidRDefault="00B5771D" w:rsidP="00B5771D">
            <w:pPr>
              <w:spacing w:line="300" w:lineRule="exact"/>
              <w:jc w:val="center"/>
              <w:rPr>
                <w:lang w:val="uk-UA"/>
              </w:rPr>
            </w:pPr>
            <w:proofErr w:type="spellStart"/>
            <w:r w:rsidRPr="00BC7FC7">
              <w:t>Місцезнаходження</w:t>
            </w:r>
            <w:proofErr w:type="spellEnd"/>
          </w:p>
        </w:tc>
        <w:tc>
          <w:tcPr>
            <w:tcW w:w="2268" w:type="dxa"/>
          </w:tcPr>
          <w:p w14:paraId="0D544C86" w14:textId="36F8A1EB" w:rsidR="00B5771D" w:rsidRPr="00281F1C" w:rsidRDefault="008722C5" w:rsidP="008722C5">
            <w:pPr>
              <w:rPr>
                <w:rStyle w:val="22"/>
                <w:rFonts w:eastAsiaTheme="majorEastAsia"/>
                <w:bCs w:val="0"/>
              </w:rPr>
            </w:pPr>
            <w:proofErr w:type="spellStart"/>
            <w:r w:rsidRPr="008722C5">
              <w:t>Контактний</w:t>
            </w:r>
            <w:proofErr w:type="spellEnd"/>
            <w:r w:rsidRPr="008722C5">
              <w:t xml:space="preserve"> телефон, адреса </w:t>
            </w:r>
            <w:proofErr w:type="spellStart"/>
            <w:r w:rsidRPr="008722C5">
              <w:t>електронної</w:t>
            </w:r>
            <w:proofErr w:type="spellEnd"/>
            <w:r w:rsidRPr="008722C5">
              <w:t xml:space="preserve"> </w:t>
            </w:r>
            <w:proofErr w:type="spellStart"/>
            <w:r w:rsidRPr="008722C5">
              <w:t>пошти</w:t>
            </w:r>
            <w:proofErr w:type="spellEnd"/>
            <w:r w:rsidRPr="008722C5">
              <w:t>, веб-сайт</w:t>
            </w:r>
          </w:p>
        </w:tc>
        <w:tc>
          <w:tcPr>
            <w:tcW w:w="1924" w:type="dxa"/>
            <w:gridSpan w:val="2"/>
          </w:tcPr>
          <w:p w14:paraId="297BDE04" w14:textId="4B5B65FA" w:rsidR="00B5771D" w:rsidRPr="00281F1C" w:rsidRDefault="00B5771D" w:rsidP="00B5771D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BC7FC7">
              <w:t>*</w:t>
            </w:r>
            <w:proofErr w:type="spellStart"/>
            <w:r w:rsidRPr="00BC7FC7">
              <w:t>Інформація</w:t>
            </w:r>
            <w:proofErr w:type="spellEnd"/>
            <w:r w:rsidRPr="00BC7FC7">
              <w:t xml:space="preserve"> </w:t>
            </w:r>
            <w:proofErr w:type="spellStart"/>
            <w:r w:rsidRPr="00BC7FC7">
              <w:t>щодо</w:t>
            </w:r>
            <w:proofErr w:type="spellEnd"/>
            <w:r w:rsidRPr="00BC7FC7">
              <w:t xml:space="preserve"> режиму </w:t>
            </w:r>
            <w:proofErr w:type="spellStart"/>
            <w:r w:rsidRPr="00BC7FC7">
              <w:t>роботи</w:t>
            </w:r>
            <w:proofErr w:type="spellEnd"/>
            <w:r w:rsidRPr="00BC7FC7">
              <w:t xml:space="preserve"> </w:t>
            </w:r>
          </w:p>
        </w:tc>
      </w:tr>
      <w:tr w:rsidR="00B5771D" w:rsidRPr="0003089E" w14:paraId="59F77054" w14:textId="77777777" w:rsidTr="008722C5">
        <w:trPr>
          <w:trHeight w:val="1956"/>
        </w:trPr>
        <w:tc>
          <w:tcPr>
            <w:tcW w:w="534" w:type="dxa"/>
          </w:tcPr>
          <w:p w14:paraId="5C7FF2B8" w14:textId="77777777" w:rsid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  <w:p w14:paraId="1D7BC38F" w14:textId="77777777" w:rsid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  <w:p w14:paraId="5342F5C5" w14:textId="338F59FB" w:rsid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B5771D">
              <w:rPr>
                <w:rStyle w:val="22"/>
                <w:rFonts w:eastAsiaTheme="majorEastAsia"/>
                <w:bCs w:val="0"/>
              </w:rPr>
              <w:t>1</w:t>
            </w:r>
          </w:p>
          <w:p w14:paraId="5E393A00" w14:textId="77777777" w:rsid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  <w:p w14:paraId="17996450" w14:textId="68DCCEDB" w:rsidR="00B5771D" w:rsidRP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126" w:type="dxa"/>
            <w:gridSpan w:val="2"/>
          </w:tcPr>
          <w:p w14:paraId="72AA0F40" w14:textId="36E0D12B" w:rsidR="00B5771D" w:rsidRPr="00281F1C" w:rsidRDefault="00B5771D" w:rsidP="008722C5">
            <w:pPr>
              <w:tabs>
                <w:tab w:val="left" w:pos="6270"/>
              </w:tabs>
              <w:rPr>
                <w:rStyle w:val="22"/>
                <w:rFonts w:eastAsiaTheme="majorEastAsia"/>
                <w:b w:val="0"/>
              </w:rPr>
            </w:pPr>
            <w:proofErr w:type="spellStart"/>
            <w:r w:rsidRPr="00B5771D">
              <w:t>Відділ</w:t>
            </w:r>
            <w:proofErr w:type="spellEnd"/>
            <w:r w:rsidRPr="00B5771D">
              <w:t xml:space="preserve"> з </w:t>
            </w:r>
            <w:proofErr w:type="spellStart"/>
            <w:r w:rsidRPr="00B5771D">
              <w:t>питань</w:t>
            </w:r>
            <w:proofErr w:type="spellEnd"/>
            <w:r w:rsidRPr="00B5771D">
              <w:t xml:space="preserve"> </w:t>
            </w:r>
            <w:proofErr w:type="spellStart"/>
            <w:r w:rsidRPr="00B5771D">
              <w:t>земельних</w:t>
            </w:r>
            <w:proofErr w:type="spellEnd"/>
            <w:r w:rsidRPr="00B5771D">
              <w:t xml:space="preserve"> </w:t>
            </w:r>
            <w:proofErr w:type="spellStart"/>
            <w:r w:rsidRPr="00B5771D">
              <w:t>відносин</w:t>
            </w:r>
            <w:proofErr w:type="spellEnd"/>
            <w:r w:rsidRPr="00B5771D">
              <w:t xml:space="preserve">, </w:t>
            </w:r>
            <w:proofErr w:type="spellStart"/>
            <w:r w:rsidRPr="00B5771D">
              <w:t>екології</w:t>
            </w:r>
            <w:proofErr w:type="spellEnd"/>
            <w:r w:rsidRPr="00B5771D">
              <w:t xml:space="preserve">, </w:t>
            </w:r>
            <w:proofErr w:type="spellStart"/>
            <w:r w:rsidRPr="00B5771D">
              <w:t>агропромислового</w:t>
            </w:r>
            <w:proofErr w:type="spellEnd"/>
            <w:r w:rsidRPr="00B5771D">
              <w:t xml:space="preserve"> комплексу </w:t>
            </w:r>
            <w:proofErr w:type="spellStart"/>
            <w:r w:rsidRPr="00B5771D">
              <w:t>Обухівської</w:t>
            </w:r>
            <w:proofErr w:type="spellEnd"/>
            <w:r w:rsidRPr="00B5771D">
              <w:t xml:space="preserve"> </w:t>
            </w:r>
            <w:proofErr w:type="spellStart"/>
            <w:r w:rsidRPr="00B5771D">
              <w:t>селищної</w:t>
            </w:r>
            <w:proofErr w:type="spellEnd"/>
            <w:r w:rsidRPr="00B5771D">
              <w:t xml:space="preserve"> ради</w:t>
            </w:r>
          </w:p>
        </w:tc>
        <w:tc>
          <w:tcPr>
            <w:tcW w:w="2268" w:type="dxa"/>
            <w:gridSpan w:val="2"/>
          </w:tcPr>
          <w:p w14:paraId="01180151" w14:textId="755B2E26" w:rsidR="00B5771D" w:rsidRPr="00281F1C" w:rsidRDefault="00B5771D" w:rsidP="008722C5">
            <w:pPr>
              <w:tabs>
                <w:tab w:val="left" w:pos="6270"/>
              </w:tabs>
              <w:rPr>
                <w:rStyle w:val="22"/>
                <w:rFonts w:eastAsiaTheme="majorEastAsia"/>
                <w:b w:val="0"/>
              </w:rPr>
            </w:pPr>
            <w:r w:rsidRPr="00BC7FC7">
              <w:t xml:space="preserve">52030, </w:t>
            </w:r>
            <w:proofErr w:type="spellStart"/>
            <w:r w:rsidRPr="00BC7FC7">
              <w:t>Дніпропетровська</w:t>
            </w:r>
            <w:proofErr w:type="spellEnd"/>
            <w:r w:rsidRPr="00BC7FC7">
              <w:t xml:space="preserve"> область </w:t>
            </w:r>
            <w:proofErr w:type="spellStart"/>
            <w:r w:rsidRPr="00BC7FC7">
              <w:t>Дніпровський</w:t>
            </w:r>
            <w:proofErr w:type="spellEnd"/>
            <w:r w:rsidRPr="00BC7FC7">
              <w:t xml:space="preserve"> район, с-</w:t>
            </w:r>
            <w:proofErr w:type="spellStart"/>
            <w:r w:rsidRPr="00BC7FC7">
              <w:t>ще</w:t>
            </w:r>
            <w:proofErr w:type="spellEnd"/>
            <w:r w:rsidRPr="00BC7FC7">
              <w:t xml:space="preserve"> </w:t>
            </w:r>
            <w:proofErr w:type="spellStart"/>
            <w:r w:rsidRPr="00BC7FC7">
              <w:t>Обухівка</w:t>
            </w:r>
            <w:proofErr w:type="spellEnd"/>
            <w:r w:rsidRPr="00BC7FC7">
              <w:t xml:space="preserve">, </w:t>
            </w:r>
            <w:proofErr w:type="spellStart"/>
            <w:r w:rsidRPr="00BC7FC7">
              <w:t>вул</w:t>
            </w:r>
            <w:proofErr w:type="spellEnd"/>
            <w:r w:rsidRPr="00BC7FC7">
              <w:t>.  Центральна, 35</w:t>
            </w:r>
          </w:p>
        </w:tc>
        <w:tc>
          <w:tcPr>
            <w:tcW w:w="2268" w:type="dxa"/>
          </w:tcPr>
          <w:p w14:paraId="4CC2F481" w14:textId="77777777" w:rsidR="00B5771D" w:rsidRPr="00B5771D" w:rsidRDefault="00B5771D" w:rsidP="00B5771D">
            <w:pPr>
              <w:tabs>
                <w:tab w:val="left" w:pos="6270"/>
              </w:tabs>
              <w:jc w:val="center"/>
              <w:rPr>
                <w:lang w:val="en-US"/>
              </w:rPr>
            </w:pPr>
            <w:r>
              <w:t>тел</w:t>
            </w:r>
            <w:r w:rsidRPr="00B5771D">
              <w:rPr>
                <w:lang w:val="en-US"/>
              </w:rPr>
              <w:t>. (063)6819006</w:t>
            </w:r>
          </w:p>
          <w:p w14:paraId="6E2AD480" w14:textId="77777777" w:rsidR="00B5771D" w:rsidRPr="00B5771D" w:rsidRDefault="00B5771D" w:rsidP="00B5771D">
            <w:pPr>
              <w:tabs>
                <w:tab w:val="left" w:pos="6270"/>
              </w:tabs>
              <w:jc w:val="center"/>
              <w:rPr>
                <w:lang w:val="en-US"/>
              </w:rPr>
            </w:pPr>
            <w:r w:rsidRPr="00B5771D">
              <w:rPr>
                <w:lang w:val="en-US"/>
              </w:rPr>
              <w:t xml:space="preserve">e-mail:  </w:t>
            </w:r>
            <w:r w:rsidRPr="00B5771D">
              <w:rPr>
                <w:color w:val="1F497D" w:themeColor="text2"/>
                <w:u w:val="single"/>
                <w:lang w:val="en-US"/>
              </w:rPr>
              <w:t>mail@osr.dp.ua</w:t>
            </w:r>
          </w:p>
          <w:p w14:paraId="7C2711F5" w14:textId="77777777" w:rsidR="00B5771D" w:rsidRDefault="00B5771D" w:rsidP="00B5771D">
            <w:pPr>
              <w:tabs>
                <w:tab w:val="left" w:pos="6270"/>
              </w:tabs>
              <w:jc w:val="center"/>
            </w:pPr>
            <w:r>
              <w:t xml:space="preserve">веб-сайт: </w:t>
            </w:r>
            <w:r w:rsidRPr="00B5771D">
              <w:rPr>
                <w:color w:val="1F497D" w:themeColor="text2"/>
                <w:u w:val="single"/>
              </w:rPr>
              <w:t>www.osr.dp.ua</w:t>
            </w:r>
          </w:p>
          <w:p w14:paraId="10F725AB" w14:textId="775681EA" w:rsidR="00B5771D" w:rsidRP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lang w:val="ru-RU"/>
              </w:rPr>
            </w:pPr>
          </w:p>
        </w:tc>
        <w:tc>
          <w:tcPr>
            <w:tcW w:w="1924" w:type="dxa"/>
            <w:gridSpan w:val="2"/>
          </w:tcPr>
          <w:p w14:paraId="0F95F56F" w14:textId="77777777" w:rsidR="00B5771D" w:rsidRP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</w:rPr>
            </w:pPr>
            <w:r w:rsidRPr="00B5771D">
              <w:rPr>
                <w:rStyle w:val="22"/>
                <w:rFonts w:eastAsiaTheme="majorEastAsia"/>
                <w:b w:val="0"/>
              </w:rPr>
              <w:t>Понеділок-четвер з 8.00 до 17.00</w:t>
            </w:r>
          </w:p>
          <w:p w14:paraId="06F55874" w14:textId="77777777" w:rsidR="00B5771D" w:rsidRPr="00B5771D" w:rsidRDefault="00B5771D" w:rsidP="00B5771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</w:rPr>
            </w:pPr>
            <w:r w:rsidRPr="00B5771D">
              <w:rPr>
                <w:rStyle w:val="22"/>
                <w:rFonts w:eastAsiaTheme="majorEastAsia"/>
                <w:b w:val="0"/>
              </w:rPr>
              <w:t>П’ятниця з 8.00 до 15.45</w:t>
            </w:r>
          </w:p>
          <w:p w14:paraId="33799289" w14:textId="0D4F054E" w:rsidR="00B5771D" w:rsidRPr="00281F1C" w:rsidRDefault="00B5771D" w:rsidP="008722C5">
            <w:pPr>
              <w:tabs>
                <w:tab w:val="left" w:pos="6270"/>
              </w:tabs>
              <w:rPr>
                <w:rStyle w:val="22"/>
                <w:rFonts w:eastAsiaTheme="majorEastAsia"/>
                <w:b w:val="0"/>
              </w:rPr>
            </w:pPr>
            <w:r w:rsidRPr="00B5771D">
              <w:rPr>
                <w:rStyle w:val="22"/>
                <w:rFonts w:eastAsiaTheme="majorEastAsia"/>
                <w:b w:val="0"/>
              </w:rPr>
              <w:t>Обідня перерва з 12.00 до 12.45</w:t>
            </w:r>
          </w:p>
        </w:tc>
      </w:tr>
      <w:tr w:rsidR="008722C5" w:rsidRPr="0003089E" w14:paraId="5877277F" w14:textId="77777777" w:rsidTr="008722C5">
        <w:trPr>
          <w:trHeight w:val="280"/>
        </w:trPr>
        <w:tc>
          <w:tcPr>
            <w:tcW w:w="9120" w:type="dxa"/>
            <w:gridSpan w:val="8"/>
          </w:tcPr>
          <w:p w14:paraId="42FF6B40" w14:textId="6014F49A" w:rsidR="008722C5" w:rsidRPr="0003089E" w:rsidRDefault="008722C5" w:rsidP="0030691F">
            <w:pPr>
              <w:tabs>
                <w:tab w:val="left" w:pos="6270"/>
              </w:tabs>
              <w:jc w:val="center"/>
            </w:pPr>
            <w:r w:rsidRPr="0003089E">
              <w:rPr>
                <w:rStyle w:val="22"/>
                <w:rFonts w:eastAsiaTheme="majorEastAsia"/>
              </w:rPr>
              <w:t xml:space="preserve"> </w:t>
            </w:r>
            <w:r>
              <w:t xml:space="preserve"> </w:t>
            </w:r>
            <w:r w:rsidRPr="00940C0E">
              <w:rPr>
                <w:rStyle w:val="22"/>
                <w:rFonts w:eastAsiaTheme="majorEastAsia"/>
              </w:rPr>
              <w:t>Інформація про учасників адміністративної послуги</w:t>
            </w:r>
          </w:p>
          <w:p w14:paraId="5BC252A3" w14:textId="77777777" w:rsidR="008722C5" w:rsidRPr="0003089E" w:rsidRDefault="008722C5" w:rsidP="0030691F">
            <w:pPr>
              <w:tabs>
                <w:tab w:val="left" w:pos="6270"/>
              </w:tabs>
              <w:jc w:val="center"/>
            </w:pPr>
          </w:p>
        </w:tc>
      </w:tr>
      <w:tr w:rsidR="00F263CF" w:rsidRPr="0003089E" w14:paraId="488ED6E5" w14:textId="77777777" w:rsidTr="008722C5">
        <w:trPr>
          <w:gridAfter w:val="1"/>
          <w:wAfter w:w="11" w:type="dxa"/>
          <w:trHeight w:val="2557"/>
        </w:trPr>
        <w:tc>
          <w:tcPr>
            <w:tcW w:w="604" w:type="dxa"/>
            <w:gridSpan w:val="2"/>
          </w:tcPr>
          <w:p w14:paraId="77746037" w14:textId="085EBCED" w:rsidR="00F263CF" w:rsidRPr="0003089E" w:rsidRDefault="00B5771D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469C1797" w14:textId="77777777" w:rsidR="009811BB" w:rsidRPr="0003089E" w:rsidRDefault="009811BB" w:rsidP="009811BB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6D41CE33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268" w:type="dxa"/>
            <w:gridSpan w:val="2"/>
          </w:tcPr>
          <w:p w14:paraId="5ED37FEC" w14:textId="77777777" w:rsidR="00F263CF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="00D44754" w:rsidRPr="00281F1C">
              <w:t xml:space="preserve"> </w:t>
            </w:r>
            <w:r w:rsidR="00D44754" w:rsidRPr="00D44754">
              <w:rPr>
                <w:sz w:val="24"/>
                <w:szCs w:val="24"/>
              </w:rPr>
              <w:t>с-ще</w:t>
            </w:r>
            <w:r w:rsidR="00D44754" w:rsidRPr="0003089E">
              <w:rPr>
                <w:sz w:val="24"/>
                <w:szCs w:val="24"/>
              </w:rPr>
              <w:t xml:space="preserve"> </w:t>
            </w:r>
            <w:r w:rsidRPr="0003089E">
              <w:rPr>
                <w:sz w:val="24"/>
                <w:szCs w:val="24"/>
              </w:rPr>
              <w:t xml:space="preserve"> Обухівка, вулиця Центральна, 46-Б</w:t>
            </w:r>
          </w:p>
          <w:p w14:paraId="00C766DE" w14:textId="77777777" w:rsidR="002A2D6B" w:rsidRDefault="002A2D6B" w:rsidP="009811BB">
            <w:pPr>
              <w:pStyle w:val="TableParagraph"/>
              <w:rPr>
                <w:sz w:val="24"/>
                <w:szCs w:val="24"/>
              </w:rPr>
            </w:pPr>
          </w:p>
          <w:p w14:paraId="10906C46" w14:textId="77777777" w:rsidR="002A2D6B" w:rsidRPr="0003089E" w:rsidRDefault="002A2D6B" w:rsidP="0098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662B8" w14:textId="77777777" w:rsidR="009811BB" w:rsidRPr="0003089E" w:rsidRDefault="009811BB" w:rsidP="009811BB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="006E0F79" w:rsidRPr="0003089E">
              <w:rPr>
                <w:bCs/>
                <w:lang w:val="uk-UA"/>
              </w:rPr>
              <w:t>063-067-21-59</w:t>
            </w:r>
          </w:p>
          <w:p w14:paraId="1755E38B" w14:textId="77777777" w:rsidR="009811BB" w:rsidRPr="0003089E" w:rsidRDefault="009811BB" w:rsidP="009811BB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550715E6" w14:textId="77777777" w:rsidR="009811BB" w:rsidRPr="0003089E" w:rsidRDefault="009811BB" w:rsidP="009811BB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8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0BE0008F" w14:textId="77777777" w:rsidR="00F263CF" w:rsidRPr="0003089E" w:rsidRDefault="001F667F" w:rsidP="009811BB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9811BB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913" w:type="dxa"/>
          </w:tcPr>
          <w:p w14:paraId="2B8225EC" w14:textId="77777777" w:rsidR="0004184F" w:rsidRDefault="003E2A44" w:rsidP="003E2A44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641171"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  <w:r w:rsidR="0004184F" w:rsidRPr="0003089E">
              <w:t xml:space="preserve"> </w:t>
            </w:r>
          </w:p>
          <w:p w14:paraId="3AF59C83" w14:textId="77777777" w:rsidR="003E2A44" w:rsidRPr="0003089E" w:rsidRDefault="003E2A44" w:rsidP="003E2A44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7B8215E4" w14:textId="77777777" w:rsidR="00F263CF" w:rsidRPr="00641171" w:rsidRDefault="00641171" w:rsidP="00641171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F263CF" w:rsidRPr="0003089E" w14:paraId="2439EDD0" w14:textId="77777777" w:rsidTr="008722C5">
        <w:trPr>
          <w:gridAfter w:val="1"/>
          <w:wAfter w:w="11" w:type="dxa"/>
        </w:trPr>
        <w:tc>
          <w:tcPr>
            <w:tcW w:w="604" w:type="dxa"/>
            <w:gridSpan w:val="2"/>
          </w:tcPr>
          <w:p w14:paraId="2AD6EDD4" w14:textId="6C65BFE8" w:rsidR="00F263CF" w:rsidRPr="0003089E" w:rsidRDefault="00B5771D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14:paraId="126EA14E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268" w:type="dxa"/>
            <w:gridSpan w:val="2"/>
          </w:tcPr>
          <w:p w14:paraId="392EE529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="00D44754" w:rsidRPr="00D44754">
              <w:rPr>
                <w:sz w:val="24"/>
                <w:szCs w:val="24"/>
              </w:rPr>
              <w:t xml:space="preserve"> с-ще</w:t>
            </w:r>
            <w:r w:rsidR="00D44754"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2268" w:type="dxa"/>
          </w:tcPr>
          <w:p w14:paraId="571A15BB" w14:textId="77777777" w:rsidR="006E0F79" w:rsidRPr="0003089E" w:rsidRDefault="006E0F79" w:rsidP="006E0F7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1EC09DD9" w14:textId="77777777" w:rsidR="006E0F79" w:rsidRPr="007471D8" w:rsidRDefault="006E0F79" w:rsidP="006E0F7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5E744B6C" w14:textId="77777777" w:rsidR="006E0F79" w:rsidRPr="009A7E8C" w:rsidRDefault="006E0F79" w:rsidP="006E0F7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0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2E7E53EA" w14:textId="77777777" w:rsidR="00F263CF" w:rsidRPr="0003089E" w:rsidRDefault="001F667F" w:rsidP="006E0F79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6E0F7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913" w:type="dxa"/>
          </w:tcPr>
          <w:p w14:paraId="3F65FE24" w14:textId="77777777" w:rsidR="00CC6E38" w:rsidRPr="0003089E" w:rsidRDefault="00CC6E38" w:rsidP="00CC6E38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04184F"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46D38584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CC6E38" w:rsidRPr="0003089E">
              <w:t xml:space="preserve"> з 8.</w:t>
            </w:r>
            <w:r w:rsidR="00CC6E38">
              <w:rPr>
                <w:lang w:val="uk-UA"/>
              </w:rPr>
              <w:t>0</w:t>
            </w:r>
            <w:r w:rsidR="00CC6E38" w:rsidRPr="0003089E">
              <w:rPr>
                <w:lang w:val="uk-UA"/>
              </w:rPr>
              <w:t>0</w:t>
            </w:r>
            <w:r w:rsidR="00CC6E38" w:rsidRPr="0003089E">
              <w:t xml:space="preserve"> до </w:t>
            </w:r>
            <w:r>
              <w:rPr>
                <w:lang w:val="uk-UA"/>
              </w:rPr>
              <w:t>15</w:t>
            </w:r>
            <w:r w:rsidR="00CC6E38" w:rsidRPr="0003089E">
              <w:t>.</w:t>
            </w:r>
            <w:r>
              <w:rPr>
                <w:lang w:val="uk-UA"/>
              </w:rPr>
              <w:t>45</w:t>
            </w:r>
          </w:p>
          <w:p w14:paraId="3BB5FC02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="00CC6E38" w:rsidRPr="0003089E">
              <w:t xml:space="preserve"> </w:t>
            </w:r>
            <w:r>
              <w:rPr>
                <w:lang w:val="uk-UA"/>
              </w:rPr>
              <w:t>12</w:t>
            </w:r>
            <w:r w:rsidR="00CC6E38" w:rsidRPr="0003089E">
              <w:t>.</w:t>
            </w:r>
            <w:r>
              <w:rPr>
                <w:lang w:val="uk-UA"/>
              </w:rPr>
              <w:t>00 до 12.45</w:t>
            </w:r>
          </w:p>
          <w:p w14:paraId="4F91B783" w14:textId="77777777" w:rsidR="00F263CF" w:rsidRPr="0003089E" w:rsidRDefault="00F263CF" w:rsidP="003069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63CF" w:rsidRPr="0003089E" w14:paraId="604C0111" w14:textId="77777777" w:rsidTr="008722C5">
        <w:trPr>
          <w:trHeight w:val="705"/>
        </w:trPr>
        <w:tc>
          <w:tcPr>
            <w:tcW w:w="9120" w:type="dxa"/>
            <w:gridSpan w:val="8"/>
          </w:tcPr>
          <w:p w14:paraId="1D36F46F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2AEE54DB" w14:textId="77777777" w:rsidTr="003D6616">
        <w:tc>
          <w:tcPr>
            <w:tcW w:w="604" w:type="dxa"/>
            <w:gridSpan w:val="2"/>
          </w:tcPr>
          <w:p w14:paraId="5ED1D299" w14:textId="4AF0CEF7" w:rsidR="00F263CF" w:rsidRPr="0003089E" w:rsidRDefault="00B5771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048" w:type="dxa"/>
            <w:gridSpan w:val="2"/>
          </w:tcPr>
          <w:p w14:paraId="3289273A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468" w:type="dxa"/>
            <w:gridSpan w:val="4"/>
          </w:tcPr>
          <w:p w14:paraId="52B2A846" w14:textId="77777777" w:rsidR="00F263CF" w:rsidRPr="006D2AB5" w:rsidRDefault="00F263CF" w:rsidP="006D2AB5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>,</w:t>
            </w:r>
            <w:r w:rsidR="00925ADB">
              <w:rPr>
                <w:lang w:val="uk-UA"/>
              </w:rPr>
              <w:t xml:space="preserve"> </w:t>
            </w:r>
            <w:r w:rsidR="004E0691">
              <w:rPr>
                <w:lang w:val="uk-UA"/>
              </w:rPr>
              <w:t xml:space="preserve">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E16DF2">
              <w:rPr>
                <w:lang w:val="uk-UA"/>
              </w:rPr>
              <w:t xml:space="preserve">, </w:t>
            </w:r>
            <w:r w:rsidR="00E16DF2">
              <w:t xml:space="preserve">«Про </w:t>
            </w:r>
            <w:proofErr w:type="spellStart"/>
            <w:r w:rsidR="00E16DF2">
              <w:t>Державний</w:t>
            </w:r>
            <w:proofErr w:type="spellEnd"/>
            <w:r w:rsidR="00E16DF2">
              <w:t xml:space="preserve"> </w:t>
            </w:r>
            <w:proofErr w:type="spellStart"/>
            <w:r w:rsidR="00E16DF2">
              <w:t>земельний</w:t>
            </w:r>
            <w:proofErr w:type="spellEnd"/>
            <w:r w:rsidR="00E16DF2">
              <w:t xml:space="preserve"> кадастр»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кодекс </w:t>
            </w:r>
            <w:proofErr w:type="spellStart"/>
            <w:r w:rsidR="006D2AB5" w:rsidRPr="007D7EC6">
              <w:t>України</w:t>
            </w:r>
            <w:proofErr w:type="spellEnd"/>
          </w:p>
        </w:tc>
      </w:tr>
      <w:tr w:rsidR="00F263CF" w:rsidRPr="0003089E" w14:paraId="7F0FE8BC" w14:textId="77777777" w:rsidTr="003D6616">
        <w:tc>
          <w:tcPr>
            <w:tcW w:w="604" w:type="dxa"/>
            <w:gridSpan w:val="2"/>
          </w:tcPr>
          <w:p w14:paraId="143A1DB8" w14:textId="3735372F" w:rsidR="00F263CF" w:rsidRPr="0003089E" w:rsidRDefault="00B5771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048" w:type="dxa"/>
            <w:gridSpan w:val="2"/>
          </w:tcPr>
          <w:p w14:paraId="1492CC40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468" w:type="dxa"/>
            <w:gridSpan w:val="4"/>
          </w:tcPr>
          <w:p w14:paraId="5EB273C3" w14:textId="77777777" w:rsidR="00F263CF" w:rsidRPr="0003089E" w:rsidRDefault="00F263CF" w:rsidP="006D5789">
            <w:pPr>
              <w:jc w:val="both"/>
              <w:rPr>
                <w:lang w:val="uk-UA"/>
              </w:rPr>
            </w:pPr>
          </w:p>
        </w:tc>
      </w:tr>
      <w:tr w:rsidR="00F263CF" w:rsidRPr="0003089E" w14:paraId="3C298AD0" w14:textId="77777777" w:rsidTr="003D6616">
        <w:tc>
          <w:tcPr>
            <w:tcW w:w="604" w:type="dxa"/>
            <w:gridSpan w:val="2"/>
          </w:tcPr>
          <w:p w14:paraId="20607FE4" w14:textId="0CA87398" w:rsidR="00F263CF" w:rsidRPr="0003089E" w:rsidRDefault="00B5771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048" w:type="dxa"/>
            <w:gridSpan w:val="2"/>
          </w:tcPr>
          <w:p w14:paraId="3117109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468" w:type="dxa"/>
            <w:gridSpan w:val="4"/>
          </w:tcPr>
          <w:p w14:paraId="5CE444A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3A0DD3" w14:paraId="1230A860" w14:textId="77777777" w:rsidTr="003D6616">
        <w:tc>
          <w:tcPr>
            <w:tcW w:w="604" w:type="dxa"/>
            <w:gridSpan w:val="2"/>
          </w:tcPr>
          <w:p w14:paraId="20BF1B7D" w14:textId="56053330" w:rsidR="00F263CF" w:rsidRPr="0003089E" w:rsidRDefault="00B5771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048" w:type="dxa"/>
            <w:gridSpan w:val="2"/>
          </w:tcPr>
          <w:p w14:paraId="5E8E60A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468" w:type="dxa"/>
            <w:gridSpan w:val="4"/>
          </w:tcPr>
          <w:p w14:paraId="171EC322" w14:textId="77777777" w:rsidR="00F263CF" w:rsidRPr="003A0DD3" w:rsidRDefault="00925ADB" w:rsidP="001E44E8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</w:p>
        </w:tc>
      </w:tr>
      <w:tr w:rsidR="00F263CF" w:rsidRPr="0003089E" w14:paraId="06C1853D" w14:textId="77777777" w:rsidTr="008722C5">
        <w:tc>
          <w:tcPr>
            <w:tcW w:w="9120" w:type="dxa"/>
            <w:gridSpan w:val="8"/>
          </w:tcPr>
          <w:p w14:paraId="6FB8271D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164F0A96" w14:textId="77777777" w:rsidTr="003D6616">
        <w:tc>
          <w:tcPr>
            <w:tcW w:w="604" w:type="dxa"/>
            <w:gridSpan w:val="2"/>
          </w:tcPr>
          <w:p w14:paraId="492138D2" w14:textId="5A0250DA" w:rsidR="00F263CF" w:rsidRPr="0003089E" w:rsidRDefault="00B5771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048" w:type="dxa"/>
            <w:gridSpan w:val="2"/>
          </w:tcPr>
          <w:p w14:paraId="1A8DAAF4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468" w:type="dxa"/>
            <w:gridSpan w:val="4"/>
          </w:tcPr>
          <w:p w14:paraId="47E4243D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010DD75B" w14:textId="77777777" w:rsidTr="003D6616">
        <w:tc>
          <w:tcPr>
            <w:tcW w:w="604" w:type="dxa"/>
            <w:gridSpan w:val="2"/>
          </w:tcPr>
          <w:p w14:paraId="7155C879" w14:textId="0BDE5C5D" w:rsidR="00F263CF" w:rsidRPr="0003089E" w:rsidRDefault="00B5771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048" w:type="dxa"/>
            <w:gridSpan w:val="2"/>
          </w:tcPr>
          <w:p w14:paraId="02F8BBB4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68" w:type="dxa"/>
            <w:gridSpan w:val="4"/>
          </w:tcPr>
          <w:p w14:paraId="1B4591AE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56F276E9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2EC8AA0D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633093A8" w14:textId="77777777" w:rsidR="00925ADB" w:rsidRDefault="00F94BB4" w:rsidP="001E44E8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599D7330" w14:textId="77777777" w:rsidR="006D2AB5" w:rsidRPr="00E16DF2" w:rsidRDefault="006D2AB5" w:rsidP="009D199A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="00E16DF2">
              <w:rPr>
                <w:lang w:val="uk-UA"/>
              </w:rPr>
              <w:t>Свідоцтво про смерть (якщо помер користувач земельної ділянки)</w:t>
            </w:r>
          </w:p>
          <w:p w14:paraId="0858EC81" w14:textId="77777777" w:rsidR="00E16DF2" w:rsidRDefault="009D199A" w:rsidP="00E16DF2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proofErr w:type="spellStart"/>
            <w:r w:rsidRPr="009D199A">
              <w:t>Технічний</w:t>
            </w:r>
            <w:proofErr w:type="spellEnd"/>
            <w:r w:rsidRPr="009D199A">
              <w:t xml:space="preserve"> паспорт на </w:t>
            </w:r>
            <w:proofErr w:type="spellStart"/>
            <w:r w:rsidRPr="009D199A">
              <w:t>будинок</w:t>
            </w:r>
            <w:proofErr w:type="spellEnd"/>
            <w:r w:rsidRPr="009D199A">
              <w:t xml:space="preserve"> </w:t>
            </w:r>
          </w:p>
          <w:p w14:paraId="5675D233" w14:textId="77777777" w:rsidR="009D199A" w:rsidRPr="009D199A" w:rsidRDefault="009D199A" w:rsidP="00E16DF2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9D199A">
              <w:t xml:space="preserve">Право </w:t>
            </w:r>
            <w:proofErr w:type="spellStart"/>
            <w:r w:rsidRPr="009D199A">
              <w:t>власності</w:t>
            </w:r>
            <w:proofErr w:type="spellEnd"/>
            <w:r w:rsidRPr="009D199A">
              <w:t xml:space="preserve"> на </w:t>
            </w:r>
            <w:proofErr w:type="spellStart"/>
            <w:r w:rsidRPr="009D199A">
              <w:t>будинок</w:t>
            </w:r>
            <w:proofErr w:type="spellEnd"/>
            <w:r w:rsidRPr="009D199A">
              <w:t xml:space="preserve"> </w:t>
            </w:r>
          </w:p>
        </w:tc>
      </w:tr>
      <w:tr w:rsidR="00F263CF" w:rsidRPr="0003089E" w14:paraId="2EC50C3D" w14:textId="77777777" w:rsidTr="003D6616">
        <w:trPr>
          <w:trHeight w:val="697"/>
        </w:trPr>
        <w:tc>
          <w:tcPr>
            <w:tcW w:w="604" w:type="dxa"/>
            <w:gridSpan w:val="2"/>
          </w:tcPr>
          <w:p w14:paraId="0B0B75F5" w14:textId="0727D2A3" w:rsidR="00F263CF" w:rsidRPr="0003089E" w:rsidRDefault="002A2D6B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5771D">
              <w:rPr>
                <w:b/>
                <w:lang w:val="uk-UA"/>
              </w:rPr>
              <w:t>0</w:t>
            </w:r>
          </w:p>
        </w:tc>
        <w:tc>
          <w:tcPr>
            <w:tcW w:w="3048" w:type="dxa"/>
            <w:gridSpan w:val="2"/>
          </w:tcPr>
          <w:p w14:paraId="51B8FED0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468" w:type="dxa"/>
            <w:gridSpan w:val="4"/>
          </w:tcPr>
          <w:p w14:paraId="4114497E" w14:textId="1BEC7E65" w:rsidR="003A6663" w:rsidRPr="0003089E" w:rsidRDefault="003A6663" w:rsidP="003A666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2A2D6B">
              <w:rPr>
                <w:lang w:val="uk-UA"/>
              </w:rPr>
              <w:t xml:space="preserve"> </w:t>
            </w:r>
            <w:r w:rsidR="002A2D6B">
              <w:t xml:space="preserve"> </w:t>
            </w:r>
            <w:r w:rsidR="002A2D6B" w:rsidRPr="002A2D6B">
              <w:rPr>
                <w:lang w:val="uk-UA"/>
              </w:rPr>
              <w:t>або надсилаються поштою (рекомендованим листом з описом вкладення).</w:t>
            </w:r>
          </w:p>
          <w:p w14:paraId="4254335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3342CF9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2522FA7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</w:t>
            </w:r>
            <w:r w:rsidRPr="0003089E">
              <w:rPr>
                <w:lang w:val="uk-UA"/>
              </w:rPr>
              <w:lastRenderedPageBreak/>
              <w:t>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49F0B2C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3207519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5DD0CFE9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586287E2" w14:textId="77777777" w:rsidTr="003D6616">
        <w:tc>
          <w:tcPr>
            <w:tcW w:w="604" w:type="dxa"/>
            <w:gridSpan w:val="2"/>
          </w:tcPr>
          <w:p w14:paraId="58735DE5" w14:textId="2CB1D9F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5771D">
              <w:rPr>
                <w:b/>
                <w:lang w:val="uk-UA"/>
              </w:rPr>
              <w:t>1</w:t>
            </w:r>
          </w:p>
        </w:tc>
        <w:tc>
          <w:tcPr>
            <w:tcW w:w="3048" w:type="dxa"/>
            <w:gridSpan w:val="2"/>
          </w:tcPr>
          <w:p w14:paraId="5CE5FCF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468" w:type="dxa"/>
            <w:gridSpan w:val="4"/>
          </w:tcPr>
          <w:p w14:paraId="7E25B92F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083E4826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0286CF7A" w14:textId="77777777" w:rsidTr="003D6616">
        <w:tc>
          <w:tcPr>
            <w:tcW w:w="604" w:type="dxa"/>
            <w:gridSpan w:val="2"/>
          </w:tcPr>
          <w:p w14:paraId="5703DE23" w14:textId="3A54990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771D">
              <w:rPr>
                <w:b/>
                <w:lang w:val="uk-UA"/>
              </w:rPr>
              <w:t>2</w:t>
            </w:r>
          </w:p>
        </w:tc>
        <w:tc>
          <w:tcPr>
            <w:tcW w:w="3048" w:type="dxa"/>
            <w:gridSpan w:val="2"/>
          </w:tcPr>
          <w:p w14:paraId="4A6DDA4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468" w:type="dxa"/>
            <w:gridSpan w:val="4"/>
          </w:tcPr>
          <w:p w14:paraId="735BAF68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1F650BEA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5E798249" w14:textId="77777777" w:rsidTr="003D6616">
        <w:tc>
          <w:tcPr>
            <w:tcW w:w="604" w:type="dxa"/>
            <w:gridSpan w:val="2"/>
          </w:tcPr>
          <w:p w14:paraId="08D22908" w14:textId="138EB6D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771D">
              <w:rPr>
                <w:b/>
                <w:lang w:val="uk-UA"/>
              </w:rPr>
              <w:t>3</w:t>
            </w:r>
          </w:p>
        </w:tc>
        <w:tc>
          <w:tcPr>
            <w:tcW w:w="3048" w:type="dxa"/>
            <w:gridSpan w:val="2"/>
          </w:tcPr>
          <w:p w14:paraId="017CC3B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468" w:type="dxa"/>
            <w:gridSpan w:val="4"/>
          </w:tcPr>
          <w:p w14:paraId="2A6E2476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3A6EBFD8" w14:textId="77777777" w:rsidTr="003D6616">
        <w:tc>
          <w:tcPr>
            <w:tcW w:w="604" w:type="dxa"/>
            <w:gridSpan w:val="2"/>
          </w:tcPr>
          <w:p w14:paraId="76880A8A" w14:textId="55CD8CE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771D">
              <w:rPr>
                <w:b/>
                <w:lang w:val="uk-UA"/>
              </w:rPr>
              <w:t>4</w:t>
            </w:r>
          </w:p>
        </w:tc>
        <w:tc>
          <w:tcPr>
            <w:tcW w:w="3048" w:type="dxa"/>
            <w:gridSpan w:val="2"/>
          </w:tcPr>
          <w:p w14:paraId="5C093463" w14:textId="6C6DD3CE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68" w:type="dxa"/>
            <w:gridSpan w:val="4"/>
          </w:tcPr>
          <w:p w14:paraId="682B954D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6B0B94E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365CF56E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274052C1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9B38F20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2886B6B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531D2AA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 xml:space="preserve"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</w:t>
            </w:r>
            <w:r w:rsidRPr="0003089E">
              <w:rPr>
                <w:lang w:eastAsia="ru-RU"/>
              </w:rPr>
              <w:lastRenderedPageBreak/>
              <w:t>Закону України “Про адміністративну процедуру”.</w:t>
            </w:r>
          </w:p>
          <w:p w14:paraId="20FA392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7F0C2836" w14:textId="77777777" w:rsidTr="003D6616">
        <w:tc>
          <w:tcPr>
            <w:tcW w:w="604" w:type="dxa"/>
            <w:gridSpan w:val="2"/>
          </w:tcPr>
          <w:p w14:paraId="45C289ED" w14:textId="3BAE851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5771D">
              <w:rPr>
                <w:b/>
                <w:lang w:val="uk-UA"/>
              </w:rPr>
              <w:t>5</w:t>
            </w:r>
          </w:p>
        </w:tc>
        <w:tc>
          <w:tcPr>
            <w:tcW w:w="3048" w:type="dxa"/>
            <w:gridSpan w:val="2"/>
          </w:tcPr>
          <w:p w14:paraId="53321560" w14:textId="3A8A7316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2A2D6B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</w:t>
            </w:r>
            <w:r w:rsidR="002A2D6B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>отримання результату</w:t>
            </w:r>
          </w:p>
        </w:tc>
        <w:tc>
          <w:tcPr>
            <w:tcW w:w="5468" w:type="dxa"/>
            <w:gridSpan w:val="4"/>
          </w:tcPr>
          <w:p w14:paraId="436ADA4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75444D1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84EB59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5E991EE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33441F0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5765FF9E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1F667F" w14:paraId="2D2F57B1" w14:textId="77777777" w:rsidTr="003D6616">
        <w:trPr>
          <w:trHeight w:val="557"/>
        </w:trPr>
        <w:tc>
          <w:tcPr>
            <w:tcW w:w="604" w:type="dxa"/>
            <w:gridSpan w:val="2"/>
          </w:tcPr>
          <w:p w14:paraId="106F9B54" w14:textId="15880EF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771D">
              <w:rPr>
                <w:b/>
                <w:lang w:val="uk-UA"/>
              </w:rPr>
              <w:t>6</w:t>
            </w:r>
          </w:p>
        </w:tc>
        <w:tc>
          <w:tcPr>
            <w:tcW w:w="3048" w:type="dxa"/>
            <w:gridSpan w:val="2"/>
          </w:tcPr>
          <w:p w14:paraId="24A694C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468" w:type="dxa"/>
            <w:gridSpan w:val="4"/>
          </w:tcPr>
          <w:p w14:paraId="25A72131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17B1086E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7D9D1D34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0F764B68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48377D78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13D53046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74A9B270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2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0C43F573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262BEF95" w14:textId="77777777" w:rsidR="00F263CF" w:rsidRPr="0003089E" w:rsidRDefault="00F263CF" w:rsidP="00F263CF">
      <w:pPr>
        <w:rPr>
          <w:lang w:val="uk-UA"/>
        </w:rPr>
      </w:pPr>
    </w:p>
    <w:sectPr w:rsidR="00F263CF" w:rsidRPr="0003089E" w:rsidSect="00BA1E4B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230F4" w14:textId="77777777" w:rsidR="009E1FC2" w:rsidRDefault="009E1FC2" w:rsidP="008111DE">
      <w:r>
        <w:separator/>
      </w:r>
    </w:p>
  </w:endnote>
  <w:endnote w:type="continuationSeparator" w:id="0">
    <w:p w14:paraId="32072066" w14:textId="77777777" w:rsidR="009E1FC2" w:rsidRDefault="009E1FC2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89F09" w14:textId="77777777" w:rsidR="009E1FC2" w:rsidRDefault="009E1FC2" w:rsidP="008111DE">
      <w:r>
        <w:separator/>
      </w:r>
    </w:p>
  </w:footnote>
  <w:footnote w:type="continuationSeparator" w:id="0">
    <w:p w14:paraId="0AC2EB9F" w14:textId="77777777" w:rsidR="009E1FC2" w:rsidRDefault="009E1FC2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73CE8" w14:textId="77777777" w:rsidR="00986A2D" w:rsidRDefault="003C676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3B888BB0" w14:textId="77777777" w:rsidR="00986A2D" w:rsidRDefault="00986A2D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3113C" w14:textId="77777777" w:rsidR="00986A2D" w:rsidRDefault="003C676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570CAB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43D8E10C" w14:textId="77777777" w:rsidR="00986A2D" w:rsidRDefault="00986A2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C18E7"/>
    <w:multiLevelType w:val="hybridMultilevel"/>
    <w:tmpl w:val="D788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4184F"/>
    <w:rsid w:val="00056D8F"/>
    <w:rsid w:val="00073165"/>
    <w:rsid w:val="0008131E"/>
    <w:rsid w:val="000B7BD0"/>
    <w:rsid w:val="000D21C3"/>
    <w:rsid w:val="0010445B"/>
    <w:rsid w:val="0010601B"/>
    <w:rsid w:val="00114A9D"/>
    <w:rsid w:val="001152F4"/>
    <w:rsid w:val="001336E2"/>
    <w:rsid w:val="00150E53"/>
    <w:rsid w:val="00182085"/>
    <w:rsid w:val="001848E4"/>
    <w:rsid w:val="00195CB9"/>
    <w:rsid w:val="001B326C"/>
    <w:rsid w:val="001D649F"/>
    <w:rsid w:val="001E44E8"/>
    <w:rsid w:val="001F3AC8"/>
    <w:rsid w:val="001F4F56"/>
    <w:rsid w:val="001F667F"/>
    <w:rsid w:val="00235E1B"/>
    <w:rsid w:val="002511D5"/>
    <w:rsid w:val="00271A20"/>
    <w:rsid w:val="00281F1C"/>
    <w:rsid w:val="00283FC6"/>
    <w:rsid w:val="00297D75"/>
    <w:rsid w:val="002A2302"/>
    <w:rsid w:val="002A2D6B"/>
    <w:rsid w:val="002C1EA4"/>
    <w:rsid w:val="002D0DDB"/>
    <w:rsid w:val="002D7940"/>
    <w:rsid w:val="002F4C58"/>
    <w:rsid w:val="00353B81"/>
    <w:rsid w:val="00360793"/>
    <w:rsid w:val="00364E81"/>
    <w:rsid w:val="003A0DD3"/>
    <w:rsid w:val="003A6663"/>
    <w:rsid w:val="003C676C"/>
    <w:rsid w:val="003D11C7"/>
    <w:rsid w:val="003D5B9C"/>
    <w:rsid w:val="003D6616"/>
    <w:rsid w:val="003D6806"/>
    <w:rsid w:val="003E2A44"/>
    <w:rsid w:val="00466324"/>
    <w:rsid w:val="00467BBC"/>
    <w:rsid w:val="004735C7"/>
    <w:rsid w:val="004742BD"/>
    <w:rsid w:val="00477834"/>
    <w:rsid w:val="004814B3"/>
    <w:rsid w:val="00492812"/>
    <w:rsid w:val="00492B97"/>
    <w:rsid w:val="004B6FD3"/>
    <w:rsid w:val="004E0691"/>
    <w:rsid w:val="00513AFA"/>
    <w:rsid w:val="00514019"/>
    <w:rsid w:val="00527CB9"/>
    <w:rsid w:val="005651CB"/>
    <w:rsid w:val="00570CAB"/>
    <w:rsid w:val="00583D99"/>
    <w:rsid w:val="00593F1B"/>
    <w:rsid w:val="005C145A"/>
    <w:rsid w:val="005D507E"/>
    <w:rsid w:val="00640BB0"/>
    <w:rsid w:val="00641171"/>
    <w:rsid w:val="00675613"/>
    <w:rsid w:val="006D2AB5"/>
    <w:rsid w:val="006D5789"/>
    <w:rsid w:val="006E0F79"/>
    <w:rsid w:val="0070339A"/>
    <w:rsid w:val="0074031D"/>
    <w:rsid w:val="007471D8"/>
    <w:rsid w:val="00747A29"/>
    <w:rsid w:val="00755A99"/>
    <w:rsid w:val="007B57C8"/>
    <w:rsid w:val="007C0802"/>
    <w:rsid w:val="007C364E"/>
    <w:rsid w:val="007C468F"/>
    <w:rsid w:val="008111DE"/>
    <w:rsid w:val="00834C51"/>
    <w:rsid w:val="008655D2"/>
    <w:rsid w:val="008722C5"/>
    <w:rsid w:val="00883BCC"/>
    <w:rsid w:val="008857ED"/>
    <w:rsid w:val="008D3456"/>
    <w:rsid w:val="008F5722"/>
    <w:rsid w:val="00900B10"/>
    <w:rsid w:val="00900F10"/>
    <w:rsid w:val="0091680D"/>
    <w:rsid w:val="00925ADB"/>
    <w:rsid w:val="00940C0E"/>
    <w:rsid w:val="009754DF"/>
    <w:rsid w:val="0097673E"/>
    <w:rsid w:val="009811BB"/>
    <w:rsid w:val="00982BA7"/>
    <w:rsid w:val="00986A2D"/>
    <w:rsid w:val="009A329B"/>
    <w:rsid w:val="009A7E8C"/>
    <w:rsid w:val="009C2A1D"/>
    <w:rsid w:val="009D199A"/>
    <w:rsid w:val="009D3E0C"/>
    <w:rsid w:val="009E1FC2"/>
    <w:rsid w:val="009E4FDE"/>
    <w:rsid w:val="00A14CEC"/>
    <w:rsid w:val="00A30ECE"/>
    <w:rsid w:val="00A73B94"/>
    <w:rsid w:val="00A8420D"/>
    <w:rsid w:val="00A92CE8"/>
    <w:rsid w:val="00A97C38"/>
    <w:rsid w:val="00AC21C8"/>
    <w:rsid w:val="00AC43A2"/>
    <w:rsid w:val="00AD3E0A"/>
    <w:rsid w:val="00B00D02"/>
    <w:rsid w:val="00B20B77"/>
    <w:rsid w:val="00B23EE4"/>
    <w:rsid w:val="00B5771D"/>
    <w:rsid w:val="00B721B4"/>
    <w:rsid w:val="00B73D5D"/>
    <w:rsid w:val="00B86A81"/>
    <w:rsid w:val="00BA0BCB"/>
    <w:rsid w:val="00BC5816"/>
    <w:rsid w:val="00BD5B2B"/>
    <w:rsid w:val="00BD7356"/>
    <w:rsid w:val="00BE3833"/>
    <w:rsid w:val="00BE6CA5"/>
    <w:rsid w:val="00BF4BAA"/>
    <w:rsid w:val="00C90387"/>
    <w:rsid w:val="00CC3267"/>
    <w:rsid w:val="00CC6E38"/>
    <w:rsid w:val="00CD11C0"/>
    <w:rsid w:val="00CD58F7"/>
    <w:rsid w:val="00CF7935"/>
    <w:rsid w:val="00D371C5"/>
    <w:rsid w:val="00D44754"/>
    <w:rsid w:val="00D55BE7"/>
    <w:rsid w:val="00D63BF8"/>
    <w:rsid w:val="00D94A0E"/>
    <w:rsid w:val="00DB5149"/>
    <w:rsid w:val="00E130D9"/>
    <w:rsid w:val="00E13F0B"/>
    <w:rsid w:val="00E14676"/>
    <w:rsid w:val="00E15A4A"/>
    <w:rsid w:val="00E16DF2"/>
    <w:rsid w:val="00E17A6F"/>
    <w:rsid w:val="00E44B93"/>
    <w:rsid w:val="00E56D12"/>
    <w:rsid w:val="00E94406"/>
    <w:rsid w:val="00EA5902"/>
    <w:rsid w:val="00F06624"/>
    <w:rsid w:val="00F263CF"/>
    <w:rsid w:val="00F30C24"/>
    <w:rsid w:val="00F57763"/>
    <w:rsid w:val="00F73651"/>
    <w:rsid w:val="00F94BB4"/>
    <w:rsid w:val="00FB0671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9DB9"/>
  <w15:docId w15:val="{3B510FAD-632F-4EB6-99F9-3CF2B5C0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r.dp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il@osr.dp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b.com/CNAP.Obuhivka%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5195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15</cp:revision>
  <cp:lastPrinted>2024-07-12T12:07:00Z</cp:lastPrinted>
  <dcterms:created xsi:type="dcterms:W3CDTF">2024-06-21T12:34:00Z</dcterms:created>
  <dcterms:modified xsi:type="dcterms:W3CDTF">2026-07-21T10:15:00Z</dcterms:modified>
</cp:coreProperties>
</file>